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4C99663C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402417">
        <w:rPr>
          <w:rFonts w:ascii="Bookman Old Style" w:hAnsi="Bookman Old Style"/>
          <w:b/>
          <w:bCs/>
          <w:sz w:val="24"/>
          <w:szCs w:val="20"/>
        </w:rPr>
        <w:t>1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203F85CB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402417">
        <w:rPr>
          <w:rFonts w:ascii="Bookman Old Style" w:hAnsi="Bookman Old Style"/>
          <w:b/>
          <w:bCs/>
          <w:sz w:val="24"/>
          <w:szCs w:val="24"/>
        </w:rPr>
        <w:t xml:space="preserve">Dayane dos Santos </w:t>
      </w:r>
      <w:bookmarkStart w:id="0" w:name="_GoBack"/>
      <w:bookmarkEnd w:id="0"/>
      <w:r w:rsidR="00402417">
        <w:rPr>
          <w:rFonts w:ascii="Bookman Old Style" w:hAnsi="Bookman Old Style"/>
          <w:b/>
          <w:bCs/>
          <w:sz w:val="24"/>
          <w:szCs w:val="24"/>
        </w:rPr>
        <w:t>Lima Xavier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402417">
        <w:rPr>
          <w:rFonts w:ascii="Bookman Old Style" w:hAnsi="Bookman Old Style"/>
          <w:bCs/>
          <w:sz w:val="24"/>
          <w:szCs w:val="24"/>
        </w:rPr>
        <w:t>069.839.319-80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>EDUCAÇÃO INFANTIL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4C0F"/>
    <w:rsid w:val="00183B16"/>
    <w:rsid w:val="00205D2B"/>
    <w:rsid w:val="003242EE"/>
    <w:rsid w:val="0037526A"/>
    <w:rsid w:val="003A7B7F"/>
    <w:rsid w:val="003D63E7"/>
    <w:rsid w:val="00402417"/>
    <w:rsid w:val="00426EAA"/>
    <w:rsid w:val="00441357"/>
    <w:rsid w:val="0045521C"/>
    <w:rsid w:val="004D5BA4"/>
    <w:rsid w:val="004F1808"/>
    <w:rsid w:val="004F723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8675F"/>
    <w:rsid w:val="009D5066"/>
    <w:rsid w:val="00B90637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922E-5A06-4721-8CB7-9901B6C4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2025-02-04T18:54:00Z</cp:lastPrinted>
  <dcterms:created xsi:type="dcterms:W3CDTF">2025-02-04T18:58:00Z</dcterms:created>
  <dcterms:modified xsi:type="dcterms:W3CDTF">2025-02-04T18:59:00Z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