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768B" w:rsidRPr="00261ADF" w:rsidRDefault="00CD768B" w:rsidP="00CD768B">
      <w:pPr>
        <w:jc w:val="both"/>
        <w:rPr>
          <w:rFonts w:ascii="Arial" w:hAnsi="Arial" w:cs="Arial"/>
        </w:rPr>
      </w:pPr>
      <w:r w:rsidRPr="00261ADF">
        <w:rPr>
          <w:rFonts w:ascii="Arial" w:hAnsi="Arial" w:cs="Arial"/>
        </w:rPr>
        <w:t xml:space="preserve">COMISSÃO DE AVALIAÇÃO ANUAL DOS DIRETORES DE ESCOLAS, CENTRO DE EDUCAÇÃO INFANTIL E CRECHE DA REDE MUNICIPAL DE ENSINO DE VARGEÃO/SC </w:t>
      </w:r>
    </w:p>
    <w:p w:rsidR="00CD768B" w:rsidRPr="00261ADF" w:rsidRDefault="00CD768B" w:rsidP="00CD768B">
      <w:pPr>
        <w:rPr>
          <w:rFonts w:ascii="Arial" w:hAnsi="Arial" w:cs="Arial"/>
        </w:rPr>
      </w:pPr>
    </w:p>
    <w:p w:rsidR="00CD768B" w:rsidRPr="00261ADF" w:rsidRDefault="00CD768B" w:rsidP="00CD768B">
      <w:pPr>
        <w:jc w:val="center"/>
        <w:rPr>
          <w:rFonts w:ascii="Arial" w:hAnsi="Arial" w:cs="Arial"/>
          <w:b/>
        </w:rPr>
      </w:pPr>
      <w:r w:rsidRPr="00261ADF">
        <w:rPr>
          <w:rFonts w:ascii="Arial" w:hAnsi="Arial" w:cs="Arial"/>
          <w:b/>
        </w:rPr>
        <w:t>RESOLUÇÃO Nº 00</w:t>
      </w:r>
      <w:r w:rsidR="00101C70">
        <w:rPr>
          <w:rFonts w:ascii="Arial" w:hAnsi="Arial" w:cs="Arial"/>
          <w:b/>
        </w:rPr>
        <w:t>3</w:t>
      </w:r>
      <w:r w:rsidRPr="00261ADF">
        <w:rPr>
          <w:rFonts w:ascii="Arial" w:hAnsi="Arial" w:cs="Arial"/>
          <w:b/>
        </w:rPr>
        <w:t xml:space="preserve">, DE </w:t>
      </w:r>
      <w:r w:rsidR="00976462" w:rsidRPr="00497235">
        <w:rPr>
          <w:rFonts w:ascii="Arial" w:hAnsi="Arial" w:cs="Arial"/>
          <w:b/>
        </w:rPr>
        <w:t>1</w:t>
      </w:r>
      <w:r w:rsidR="00497235" w:rsidRPr="00497235">
        <w:rPr>
          <w:rFonts w:ascii="Arial" w:hAnsi="Arial" w:cs="Arial"/>
          <w:b/>
        </w:rPr>
        <w:t>8</w:t>
      </w:r>
      <w:r w:rsidRPr="00497235">
        <w:rPr>
          <w:rFonts w:ascii="Arial" w:hAnsi="Arial" w:cs="Arial"/>
          <w:b/>
        </w:rPr>
        <w:t xml:space="preserve"> DE DEZEMBRO DE 202</w:t>
      </w:r>
      <w:r w:rsidR="00CB470F" w:rsidRPr="00497235">
        <w:rPr>
          <w:rFonts w:ascii="Arial" w:hAnsi="Arial" w:cs="Arial"/>
          <w:b/>
        </w:rPr>
        <w:t>4</w:t>
      </w:r>
      <w:r w:rsidRPr="00497235">
        <w:rPr>
          <w:rFonts w:ascii="Arial" w:hAnsi="Arial" w:cs="Arial"/>
          <w:b/>
        </w:rPr>
        <w:t>.</w:t>
      </w:r>
    </w:p>
    <w:p w:rsidR="00CD768B" w:rsidRPr="00261ADF" w:rsidRDefault="00CD768B" w:rsidP="00CD768B">
      <w:pPr>
        <w:jc w:val="center"/>
        <w:rPr>
          <w:rFonts w:ascii="Arial" w:hAnsi="Arial" w:cs="Arial"/>
          <w:b/>
        </w:rPr>
      </w:pPr>
    </w:p>
    <w:p w:rsidR="00976462" w:rsidRDefault="00976462" w:rsidP="004839E6">
      <w:pPr>
        <w:ind w:left="3544" w:right="-143"/>
        <w:jc w:val="both"/>
        <w:rPr>
          <w:rFonts w:ascii="Arial" w:hAnsi="Arial" w:cs="Arial"/>
          <w:b/>
        </w:rPr>
      </w:pPr>
      <w:r w:rsidRPr="00976462">
        <w:rPr>
          <w:rFonts w:ascii="Arial" w:hAnsi="Arial" w:cs="Arial"/>
          <w:b/>
        </w:rPr>
        <w:t xml:space="preserve">ESTABELECE </w:t>
      </w:r>
      <w:r w:rsidR="00284A2B" w:rsidRPr="00284A2B">
        <w:rPr>
          <w:rFonts w:ascii="Arial" w:hAnsi="Arial" w:cs="Arial"/>
          <w:b/>
        </w:rPr>
        <w:t xml:space="preserve">OS PROCEDIMENTOS DA CONSULTA PÚBLICA </w:t>
      </w:r>
      <w:r w:rsidR="00284A2B">
        <w:rPr>
          <w:rFonts w:ascii="Arial" w:hAnsi="Arial" w:cs="Arial"/>
          <w:b/>
        </w:rPr>
        <w:t>QUE SERÁ APLICADA PARA PAIS E/OU RESPONSÁVEIS COM OBJETIVO DE COMPOR A</w:t>
      </w:r>
      <w:r w:rsidR="00284A2B" w:rsidRPr="00284A2B">
        <w:rPr>
          <w:rFonts w:ascii="Arial" w:hAnsi="Arial" w:cs="Arial"/>
          <w:b/>
        </w:rPr>
        <w:t xml:space="preserve"> AVALIAÇÃO ANUAL DA EXECUÇÃO DO PLANO DE GESTÃO ESCOLAR (PGE) PARA AS UNIDADES EDUCACIONAIS DA REDE MUNICIPAL DE ENSINO DE VARGEÃO/SC </w:t>
      </w:r>
    </w:p>
    <w:p w:rsidR="00B26CAE" w:rsidRPr="00261ADF" w:rsidRDefault="00B26CAE" w:rsidP="00CD768B">
      <w:pPr>
        <w:ind w:right="-143"/>
        <w:jc w:val="both"/>
        <w:rPr>
          <w:rFonts w:ascii="Arial" w:hAnsi="Arial" w:cs="Arial"/>
          <w:b/>
        </w:rPr>
      </w:pPr>
    </w:p>
    <w:p w:rsidR="00B26CAE" w:rsidRDefault="00B26CAE" w:rsidP="00B26CAE">
      <w:pPr>
        <w:ind w:right="-143"/>
        <w:jc w:val="both"/>
        <w:rPr>
          <w:rFonts w:ascii="Arial" w:hAnsi="Arial" w:cs="Arial"/>
          <w:bCs/>
        </w:rPr>
      </w:pPr>
      <w:r w:rsidRPr="00261ADF">
        <w:rPr>
          <w:rFonts w:ascii="Arial" w:hAnsi="Arial" w:cs="Arial"/>
          <w:bCs/>
        </w:rPr>
        <w:t>Considerando a Lei Complementar Nº 095/2022, Capitulo I, Art.2º, § 3° O Diretor Escolar e sua Gestão serão monitorados e avaliados, anualmente, por uma Comissão, nomeada pelo Chefe do Executivo, conforme regulamentação.</w:t>
      </w:r>
    </w:p>
    <w:p w:rsidR="00284A2B" w:rsidRDefault="00284A2B" w:rsidP="00B26CAE">
      <w:pPr>
        <w:ind w:right="-143"/>
        <w:jc w:val="both"/>
        <w:rPr>
          <w:rFonts w:ascii="Arial" w:hAnsi="Arial" w:cs="Arial"/>
          <w:bCs/>
        </w:rPr>
      </w:pPr>
    </w:p>
    <w:p w:rsidR="00284A2B" w:rsidRDefault="00284A2B" w:rsidP="00B26CAE">
      <w:pPr>
        <w:ind w:right="-143"/>
        <w:jc w:val="both"/>
        <w:rPr>
          <w:rFonts w:ascii="Arial" w:hAnsi="Arial" w:cs="Arial"/>
          <w:bCs/>
        </w:rPr>
      </w:pPr>
      <w:r>
        <w:rPr>
          <w:rFonts w:ascii="Arial" w:hAnsi="Arial" w:cs="Arial"/>
          <w:bCs/>
        </w:rPr>
        <w:t>Considerando</w:t>
      </w:r>
      <w:r w:rsidRPr="00284A2B">
        <w:t xml:space="preserve"> </w:t>
      </w:r>
      <w:r w:rsidRPr="00284A2B">
        <w:rPr>
          <w:rFonts w:ascii="Arial" w:hAnsi="Arial" w:cs="Arial"/>
          <w:bCs/>
        </w:rPr>
        <w:t>a Lei Complementar Nº 095/2022</w:t>
      </w:r>
      <w:r>
        <w:rPr>
          <w:rFonts w:ascii="Arial" w:hAnsi="Arial" w:cs="Arial"/>
          <w:bCs/>
        </w:rPr>
        <w:t xml:space="preserve"> </w:t>
      </w:r>
      <w:r w:rsidRPr="00284A2B">
        <w:rPr>
          <w:rFonts w:ascii="Arial" w:hAnsi="Arial" w:cs="Arial"/>
          <w:bCs/>
        </w:rPr>
        <w:t>§ 2º, Art. 24: “Ao final de cada Ano Letivo, os resultados do Plano de Gestão do Diretor Escolar em exercício, serão submetidos para Consulta Pública pela Comunidade” e § 4º, Art.28: “Os resultados do Plano de Gestão do Diretor Escolar em exercício deverão ser submetidos para Consulta Pública pela Comunidade Escolar”.</w:t>
      </w:r>
      <w:r>
        <w:rPr>
          <w:rFonts w:ascii="Arial" w:hAnsi="Arial" w:cs="Arial"/>
          <w:bCs/>
        </w:rPr>
        <w:t xml:space="preserve"> </w:t>
      </w:r>
    </w:p>
    <w:p w:rsidR="00284A2B" w:rsidRDefault="00284A2B" w:rsidP="00B26CAE">
      <w:pPr>
        <w:ind w:right="-143"/>
        <w:jc w:val="both"/>
        <w:rPr>
          <w:rFonts w:ascii="Arial" w:hAnsi="Arial" w:cs="Arial"/>
          <w:bCs/>
        </w:rPr>
      </w:pPr>
    </w:p>
    <w:p w:rsidR="00284A2B" w:rsidRDefault="00284A2B" w:rsidP="00284A2B">
      <w:pPr>
        <w:ind w:right="-143"/>
        <w:jc w:val="both"/>
        <w:rPr>
          <w:rFonts w:ascii="Arial" w:hAnsi="Arial" w:cs="Arial"/>
          <w:bCs/>
        </w:rPr>
      </w:pPr>
      <w:r>
        <w:rPr>
          <w:rFonts w:ascii="Arial" w:hAnsi="Arial" w:cs="Arial"/>
          <w:bCs/>
        </w:rPr>
        <w:t>Considerando que a</w:t>
      </w:r>
      <w:r w:rsidRPr="00284A2B">
        <w:rPr>
          <w:rFonts w:ascii="Arial" w:hAnsi="Arial" w:cs="Arial"/>
          <w:bCs/>
        </w:rPr>
        <w:t xml:space="preserve"> consulta pública é uma forma de avaliar a gestão democrática em escolas, permitindo que a comunidade escolar participe das decisões e tenha voz na gestão da instituição. </w:t>
      </w:r>
    </w:p>
    <w:p w:rsidR="00284A2B" w:rsidRPr="00284A2B" w:rsidRDefault="00284A2B" w:rsidP="00284A2B">
      <w:pPr>
        <w:ind w:right="-143"/>
        <w:jc w:val="both"/>
        <w:rPr>
          <w:rFonts w:ascii="Arial" w:hAnsi="Arial" w:cs="Arial"/>
          <w:bCs/>
        </w:rPr>
      </w:pPr>
    </w:p>
    <w:p w:rsidR="00284A2B" w:rsidRDefault="00284A2B" w:rsidP="00284A2B">
      <w:pPr>
        <w:ind w:right="-143"/>
        <w:jc w:val="both"/>
        <w:rPr>
          <w:rFonts w:ascii="Arial" w:hAnsi="Arial" w:cs="Arial"/>
          <w:bCs/>
        </w:rPr>
      </w:pPr>
      <w:r>
        <w:rPr>
          <w:rFonts w:ascii="Arial" w:hAnsi="Arial" w:cs="Arial"/>
          <w:bCs/>
        </w:rPr>
        <w:t>Considerando que a</w:t>
      </w:r>
      <w:r w:rsidRPr="00284A2B">
        <w:rPr>
          <w:rFonts w:ascii="Arial" w:hAnsi="Arial" w:cs="Arial"/>
          <w:bCs/>
        </w:rPr>
        <w:t xml:space="preserve"> gestão democrática é um princípio da Lei de Diretrizes e Bases da Educação Nacional (LDB). Ela valoriza a participação de todos os membros da comunidade escolar, como professores, alunos, pais, direção e equipe pedagógica, em todas as decisões da escola.</w:t>
      </w:r>
    </w:p>
    <w:p w:rsidR="00284A2B" w:rsidRDefault="00284A2B" w:rsidP="00284A2B">
      <w:pPr>
        <w:ind w:right="-143"/>
        <w:jc w:val="both"/>
        <w:rPr>
          <w:rFonts w:ascii="Arial" w:hAnsi="Arial" w:cs="Arial"/>
          <w:bCs/>
        </w:rPr>
      </w:pPr>
    </w:p>
    <w:p w:rsidR="00284A2B" w:rsidRDefault="00284A2B" w:rsidP="00284A2B">
      <w:pPr>
        <w:ind w:right="-143"/>
        <w:jc w:val="both"/>
        <w:rPr>
          <w:rFonts w:ascii="Arial" w:hAnsi="Arial" w:cs="Arial"/>
          <w:bCs/>
        </w:rPr>
      </w:pPr>
      <w:r>
        <w:rPr>
          <w:rFonts w:ascii="Arial" w:hAnsi="Arial" w:cs="Arial"/>
          <w:bCs/>
        </w:rPr>
        <w:t>Considerando que a</w:t>
      </w:r>
      <w:r w:rsidRPr="00284A2B">
        <w:rPr>
          <w:rFonts w:ascii="Arial" w:hAnsi="Arial" w:cs="Arial"/>
          <w:bCs/>
        </w:rPr>
        <w:t xml:space="preserve"> consulta pública é uma parte do processo de avaliação da gestão democrática, e </w:t>
      </w:r>
      <w:r>
        <w:rPr>
          <w:rFonts w:ascii="Arial" w:hAnsi="Arial" w:cs="Arial"/>
          <w:bCs/>
        </w:rPr>
        <w:t>o</w:t>
      </w:r>
      <w:r w:rsidRPr="00284A2B">
        <w:rPr>
          <w:rFonts w:ascii="Arial" w:hAnsi="Arial" w:cs="Arial"/>
          <w:bCs/>
        </w:rPr>
        <w:t xml:space="preserve"> resultado é utilizado pela Comissão, juntamente com os resultados de outros critérios, para avaliar a gestão.</w:t>
      </w:r>
    </w:p>
    <w:p w:rsidR="005E566D" w:rsidRDefault="005E566D" w:rsidP="00284A2B">
      <w:pPr>
        <w:ind w:right="-143"/>
        <w:jc w:val="both"/>
        <w:rPr>
          <w:rFonts w:ascii="Arial" w:hAnsi="Arial" w:cs="Arial"/>
          <w:bCs/>
        </w:rPr>
      </w:pPr>
    </w:p>
    <w:p w:rsidR="00AD00C5" w:rsidRDefault="005E566D" w:rsidP="00B26CAE">
      <w:pPr>
        <w:ind w:right="-143"/>
        <w:jc w:val="both"/>
        <w:rPr>
          <w:rFonts w:ascii="Arial" w:hAnsi="Arial" w:cs="Arial"/>
          <w:bCs/>
        </w:rPr>
      </w:pPr>
      <w:r>
        <w:rPr>
          <w:rFonts w:ascii="Arial" w:hAnsi="Arial" w:cs="Arial"/>
          <w:bCs/>
        </w:rPr>
        <w:t>Considerando que a</w:t>
      </w:r>
      <w:r w:rsidRPr="005E566D">
        <w:rPr>
          <w:rFonts w:ascii="Arial" w:hAnsi="Arial" w:cs="Arial"/>
          <w:bCs/>
        </w:rPr>
        <w:t xml:space="preserve"> Consulta Pública objetiva avaliar o cumprimento das finalidades e princípios da Gestão Democrática e a atuação </w:t>
      </w:r>
      <w:r>
        <w:rPr>
          <w:rFonts w:ascii="Arial" w:hAnsi="Arial" w:cs="Arial"/>
          <w:bCs/>
        </w:rPr>
        <w:t>do diretor autor do PGE eleito.</w:t>
      </w:r>
    </w:p>
    <w:p w:rsidR="005E566D" w:rsidRDefault="005E566D" w:rsidP="00B26CAE">
      <w:pPr>
        <w:ind w:right="-143"/>
        <w:jc w:val="both"/>
        <w:rPr>
          <w:rFonts w:ascii="Arial" w:hAnsi="Arial" w:cs="Arial"/>
          <w:bCs/>
        </w:rPr>
      </w:pPr>
    </w:p>
    <w:p w:rsidR="005E566D" w:rsidRPr="005E566D" w:rsidRDefault="005E566D" w:rsidP="005E566D">
      <w:pPr>
        <w:ind w:right="-143"/>
        <w:jc w:val="both"/>
        <w:rPr>
          <w:rFonts w:ascii="Arial" w:hAnsi="Arial" w:cs="Arial"/>
          <w:bCs/>
        </w:rPr>
      </w:pPr>
      <w:r>
        <w:rPr>
          <w:rFonts w:ascii="Arial" w:hAnsi="Arial" w:cs="Arial"/>
          <w:bCs/>
        </w:rPr>
        <w:t xml:space="preserve">Considerando o </w:t>
      </w:r>
      <w:r w:rsidRPr="005E566D">
        <w:rPr>
          <w:rFonts w:ascii="Arial" w:hAnsi="Arial" w:cs="Arial"/>
          <w:bCs/>
        </w:rPr>
        <w:t xml:space="preserve">Art. 3º </w:t>
      </w:r>
      <w:r>
        <w:rPr>
          <w:rFonts w:ascii="Arial" w:hAnsi="Arial" w:cs="Arial"/>
          <w:bCs/>
        </w:rPr>
        <w:t>da Lei 095/2022 onde c</w:t>
      </w:r>
      <w:r w:rsidRPr="005E566D">
        <w:rPr>
          <w:rFonts w:ascii="Arial" w:hAnsi="Arial" w:cs="Arial"/>
          <w:bCs/>
        </w:rPr>
        <w:t xml:space="preserve">onstituem objetivos da Avaliação dos PGE na rede municipal de ensino: </w:t>
      </w:r>
    </w:p>
    <w:p w:rsidR="005E566D" w:rsidRPr="005E566D" w:rsidRDefault="005E566D" w:rsidP="005E566D">
      <w:pPr>
        <w:ind w:right="-143"/>
        <w:jc w:val="both"/>
        <w:rPr>
          <w:rFonts w:ascii="Arial" w:hAnsi="Arial" w:cs="Arial"/>
          <w:bCs/>
        </w:rPr>
      </w:pPr>
      <w:r w:rsidRPr="005E566D">
        <w:rPr>
          <w:rFonts w:ascii="Arial" w:hAnsi="Arial" w:cs="Arial"/>
          <w:bCs/>
        </w:rPr>
        <w:t>I.</w:t>
      </w:r>
      <w:r w:rsidRPr="005E566D">
        <w:rPr>
          <w:rFonts w:ascii="Arial" w:hAnsi="Arial" w:cs="Arial"/>
          <w:bCs/>
        </w:rPr>
        <w:tab/>
        <w:t xml:space="preserve">Coletar informações sobre a qualidade da direção das unidades educacionais e sobre o contexto em que se realiza; </w:t>
      </w:r>
    </w:p>
    <w:p w:rsidR="005E566D" w:rsidRPr="005E566D" w:rsidRDefault="005E566D" w:rsidP="005E566D">
      <w:pPr>
        <w:ind w:right="-143"/>
        <w:jc w:val="both"/>
        <w:rPr>
          <w:rFonts w:ascii="Arial" w:hAnsi="Arial" w:cs="Arial"/>
          <w:bCs/>
        </w:rPr>
      </w:pPr>
      <w:r w:rsidRPr="005E566D">
        <w:rPr>
          <w:rFonts w:ascii="Arial" w:hAnsi="Arial" w:cs="Arial"/>
          <w:bCs/>
        </w:rPr>
        <w:lastRenderedPageBreak/>
        <w:t>II.</w:t>
      </w:r>
      <w:r w:rsidRPr="005E566D">
        <w:rPr>
          <w:rFonts w:ascii="Arial" w:hAnsi="Arial" w:cs="Arial"/>
          <w:bCs/>
        </w:rPr>
        <w:tab/>
        <w:t xml:space="preserve">Contribuir para o monitoramento, a avaliação periódica e a adequação dos PGEs; </w:t>
      </w:r>
    </w:p>
    <w:p w:rsidR="005E566D" w:rsidRPr="005E566D" w:rsidRDefault="005E566D" w:rsidP="005E566D">
      <w:pPr>
        <w:ind w:right="-143"/>
        <w:jc w:val="both"/>
        <w:rPr>
          <w:rFonts w:ascii="Arial" w:hAnsi="Arial" w:cs="Arial"/>
          <w:bCs/>
        </w:rPr>
      </w:pPr>
      <w:r w:rsidRPr="005E566D">
        <w:rPr>
          <w:rFonts w:ascii="Arial" w:hAnsi="Arial" w:cs="Arial"/>
          <w:bCs/>
        </w:rPr>
        <w:t>III.</w:t>
      </w:r>
      <w:r w:rsidRPr="005E566D">
        <w:rPr>
          <w:rFonts w:ascii="Arial" w:hAnsi="Arial" w:cs="Arial"/>
          <w:bCs/>
        </w:rPr>
        <w:tab/>
        <w:t xml:space="preserve">Proporcionar o desenvolvimento de uma cultura de reflexão acerca do cotidiano escolar para a efetivação da gestão democrática; </w:t>
      </w:r>
    </w:p>
    <w:p w:rsidR="005E566D" w:rsidRPr="005E566D" w:rsidRDefault="005E566D" w:rsidP="005E566D">
      <w:pPr>
        <w:ind w:right="-143"/>
        <w:jc w:val="both"/>
        <w:rPr>
          <w:rFonts w:ascii="Arial" w:hAnsi="Arial" w:cs="Arial"/>
          <w:bCs/>
        </w:rPr>
      </w:pPr>
      <w:r w:rsidRPr="005E566D">
        <w:rPr>
          <w:rFonts w:ascii="Arial" w:hAnsi="Arial" w:cs="Arial"/>
          <w:bCs/>
        </w:rPr>
        <w:t>IV.</w:t>
      </w:r>
      <w:r w:rsidRPr="005E566D">
        <w:rPr>
          <w:rFonts w:ascii="Arial" w:hAnsi="Arial" w:cs="Arial"/>
          <w:bCs/>
        </w:rPr>
        <w:tab/>
        <w:t xml:space="preserve">Disponibilizar, à comunidade escolar, os resultados dos processos de Avaliação dos PGE; </w:t>
      </w:r>
    </w:p>
    <w:p w:rsidR="005E566D" w:rsidRPr="005E566D" w:rsidRDefault="005E566D" w:rsidP="005E566D">
      <w:pPr>
        <w:ind w:right="-143"/>
        <w:jc w:val="both"/>
        <w:rPr>
          <w:rFonts w:ascii="Arial" w:hAnsi="Arial" w:cs="Arial"/>
          <w:bCs/>
        </w:rPr>
      </w:pPr>
      <w:r w:rsidRPr="005E566D">
        <w:rPr>
          <w:rFonts w:ascii="Arial" w:hAnsi="Arial" w:cs="Arial"/>
          <w:bCs/>
        </w:rPr>
        <w:t>V.</w:t>
      </w:r>
      <w:r w:rsidRPr="005E566D">
        <w:rPr>
          <w:rFonts w:ascii="Arial" w:hAnsi="Arial" w:cs="Arial"/>
          <w:bCs/>
        </w:rPr>
        <w:tab/>
        <w:t xml:space="preserve">Criar um acervo permitindo comparabilidade entre os resultados obtidos ao longo dos anos; </w:t>
      </w:r>
    </w:p>
    <w:p w:rsidR="005E566D" w:rsidRPr="005E566D" w:rsidRDefault="005E566D" w:rsidP="005E566D">
      <w:pPr>
        <w:ind w:right="-143"/>
        <w:jc w:val="both"/>
        <w:rPr>
          <w:rFonts w:ascii="Arial" w:hAnsi="Arial" w:cs="Arial"/>
          <w:bCs/>
        </w:rPr>
      </w:pPr>
      <w:r w:rsidRPr="005E566D">
        <w:rPr>
          <w:rFonts w:ascii="Arial" w:hAnsi="Arial" w:cs="Arial"/>
          <w:bCs/>
        </w:rPr>
        <w:t>VI.</w:t>
      </w:r>
      <w:r w:rsidRPr="005E566D">
        <w:rPr>
          <w:rFonts w:ascii="Arial" w:hAnsi="Arial" w:cs="Arial"/>
          <w:bCs/>
        </w:rPr>
        <w:tab/>
        <w:t xml:space="preserve">Avaliar o cumprimento do Termo de Compromisso de Gestão Escolar (Ciência das Atribuições) firmado pelo diretor da unidade educacional; </w:t>
      </w:r>
    </w:p>
    <w:p w:rsidR="005E566D" w:rsidRDefault="005E566D" w:rsidP="005E566D">
      <w:pPr>
        <w:ind w:right="-143"/>
        <w:jc w:val="both"/>
        <w:rPr>
          <w:rFonts w:ascii="Arial" w:hAnsi="Arial" w:cs="Arial"/>
          <w:bCs/>
        </w:rPr>
      </w:pPr>
    </w:p>
    <w:p w:rsidR="005E566D" w:rsidRPr="005E566D" w:rsidRDefault="005E566D" w:rsidP="005E566D">
      <w:pPr>
        <w:ind w:right="-143"/>
        <w:jc w:val="both"/>
        <w:rPr>
          <w:rFonts w:ascii="Arial" w:hAnsi="Arial" w:cs="Arial"/>
          <w:bCs/>
        </w:rPr>
      </w:pPr>
      <w:r>
        <w:rPr>
          <w:rFonts w:ascii="Arial" w:hAnsi="Arial" w:cs="Arial"/>
          <w:bCs/>
        </w:rPr>
        <w:t xml:space="preserve">Considerando o </w:t>
      </w:r>
      <w:r w:rsidRPr="005E566D">
        <w:rPr>
          <w:rFonts w:ascii="Arial" w:hAnsi="Arial" w:cs="Arial"/>
          <w:bCs/>
        </w:rPr>
        <w:t xml:space="preserve">Art. 4º Em relação a Avaliação do PGE, cabe a Secretaria Municipal de Educação apresentar à Comissão de Avaliação as seguintes ações: </w:t>
      </w:r>
    </w:p>
    <w:p w:rsidR="005E566D" w:rsidRPr="005E566D" w:rsidRDefault="005E566D" w:rsidP="005E566D">
      <w:pPr>
        <w:ind w:right="-143"/>
        <w:jc w:val="both"/>
        <w:rPr>
          <w:rFonts w:ascii="Arial" w:hAnsi="Arial" w:cs="Arial"/>
          <w:bCs/>
        </w:rPr>
      </w:pPr>
      <w:r w:rsidRPr="005E566D">
        <w:rPr>
          <w:rFonts w:ascii="Arial" w:hAnsi="Arial" w:cs="Arial"/>
          <w:bCs/>
        </w:rPr>
        <w:t>I.</w:t>
      </w:r>
      <w:r w:rsidRPr="005E566D">
        <w:rPr>
          <w:rFonts w:ascii="Arial" w:hAnsi="Arial" w:cs="Arial"/>
          <w:bCs/>
        </w:rPr>
        <w:tab/>
        <w:t xml:space="preserve">Registros de acompanhamento da execução dos PGEs feito por equipes técnicas e pedagógicas, junto às unidades educacionais, considerando as Competências do Diretor Escolar, conforme Dimensões da Matriz Nacional: Dimensão Político-Institucional, Pedagógica, Administrativo-Financeira e das competências Pessoais e Relacionais; </w:t>
      </w:r>
    </w:p>
    <w:p w:rsidR="005E566D" w:rsidRPr="005E566D" w:rsidRDefault="005E566D" w:rsidP="005E566D">
      <w:pPr>
        <w:ind w:right="-143"/>
        <w:jc w:val="both"/>
        <w:rPr>
          <w:rFonts w:ascii="Arial" w:hAnsi="Arial" w:cs="Arial"/>
          <w:bCs/>
        </w:rPr>
      </w:pPr>
      <w:r w:rsidRPr="005E566D">
        <w:rPr>
          <w:rFonts w:ascii="Arial" w:hAnsi="Arial" w:cs="Arial"/>
          <w:bCs/>
        </w:rPr>
        <w:t>II.</w:t>
      </w:r>
      <w:r w:rsidRPr="005E566D">
        <w:rPr>
          <w:rFonts w:ascii="Arial" w:hAnsi="Arial" w:cs="Arial"/>
          <w:bCs/>
        </w:rPr>
        <w:tab/>
        <w:t xml:space="preserve">Se houve denúncias formalizadas junto a ouvidoria da Prefeitura ou diretamente à Secretaria Municipal de Educação; </w:t>
      </w:r>
    </w:p>
    <w:p w:rsidR="005E566D" w:rsidRPr="005E566D" w:rsidRDefault="005E566D" w:rsidP="005E566D">
      <w:pPr>
        <w:ind w:right="-143"/>
        <w:jc w:val="both"/>
        <w:rPr>
          <w:rFonts w:ascii="Arial" w:hAnsi="Arial" w:cs="Arial"/>
          <w:bCs/>
        </w:rPr>
      </w:pPr>
      <w:r w:rsidRPr="005E566D">
        <w:rPr>
          <w:rFonts w:ascii="Arial" w:hAnsi="Arial" w:cs="Arial"/>
          <w:bCs/>
        </w:rPr>
        <w:t>III.</w:t>
      </w:r>
      <w:r w:rsidRPr="005E566D">
        <w:rPr>
          <w:rFonts w:ascii="Arial" w:hAnsi="Arial" w:cs="Arial"/>
          <w:bCs/>
        </w:rPr>
        <w:tab/>
        <w:t xml:space="preserve">Registros de orientações e encaminhamentos, se houver; </w:t>
      </w:r>
    </w:p>
    <w:p w:rsidR="005E566D" w:rsidRPr="005E566D" w:rsidRDefault="005E566D" w:rsidP="005E566D">
      <w:pPr>
        <w:ind w:right="-143"/>
        <w:jc w:val="both"/>
        <w:rPr>
          <w:rFonts w:ascii="Arial" w:hAnsi="Arial" w:cs="Arial"/>
          <w:bCs/>
        </w:rPr>
      </w:pPr>
      <w:r w:rsidRPr="005E566D">
        <w:rPr>
          <w:rFonts w:ascii="Arial" w:hAnsi="Arial" w:cs="Arial"/>
          <w:bCs/>
        </w:rPr>
        <w:t>IV.</w:t>
      </w:r>
      <w:r w:rsidRPr="005E566D">
        <w:rPr>
          <w:rFonts w:ascii="Arial" w:hAnsi="Arial" w:cs="Arial"/>
          <w:bCs/>
        </w:rPr>
        <w:tab/>
        <w:t xml:space="preserve">Registros de frequência do diretor em Reuniões Pedagógicas e Administrativas, em cursos/capacitações formativas, com convocações realizadas pela Secretaria Municipal de Educação; </w:t>
      </w:r>
    </w:p>
    <w:p w:rsidR="005E566D" w:rsidRDefault="005E566D" w:rsidP="005E566D">
      <w:pPr>
        <w:ind w:right="-143"/>
        <w:jc w:val="both"/>
        <w:rPr>
          <w:rFonts w:ascii="Arial" w:hAnsi="Arial" w:cs="Arial"/>
          <w:bCs/>
        </w:rPr>
      </w:pPr>
      <w:r w:rsidRPr="005E566D">
        <w:rPr>
          <w:rFonts w:ascii="Arial" w:hAnsi="Arial" w:cs="Arial"/>
          <w:bCs/>
        </w:rPr>
        <w:t>V.</w:t>
      </w:r>
      <w:r w:rsidRPr="005E566D">
        <w:rPr>
          <w:rFonts w:ascii="Arial" w:hAnsi="Arial" w:cs="Arial"/>
          <w:bCs/>
        </w:rPr>
        <w:tab/>
        <w:t>Assiduidade do diretor eleito na unidade educacional.</w:t>
      </w:r>
    </w:p>
    <w:p w:rsidR="005E566D" w:rsidRDefault="005E566D" w:rsidP="00B26CAE">
      <w:pPr>
        <w:ind w:right="-143"/>
        <w:jc w:val="both"/>
        <w:rPr>
          <w:rFonts w:ascii="Arial" w:hAnsi="Arial" w:cs="Arial"/>
          <w:bCs/>
        </w:rPr>
      </w:pPr>
    </w:p>
    <w:p w:rsidR="00B26CAE" w:rsidRPr="00261ADF" w:rsidRDefault="00B26CAE" w:rsidP="00B26CAE">
      <w:pPr>
        <w:ind w:right="-143"/>
        <w:jc w:val="both"/>
        <w:rPr>
          <w:rFonts w:ascii="Arial" w:hAnsi="Arial" w:cs="Arial"/>
          <w:bCs/>
        </w:rPr>
      </w:pPr>
      <w:r w:rsidRPr="00261ADF">
        <w:rPr>
          <w:rFonts w:ascii="Arial" w:hAnsi="Arial" w:cs="Arial"/>
          <w:bCs/>
        </w:rPr>
        <w:t>Considerando o Decreto Nº 2</w:t>
      </w:r>
      <w:r w:rsidR="00CB470F">
        <w:rPr>
          <w:rFonts w:ascii="Arial" w:hAnsi="Arial" w:cs="Arial"/>
          <w:bCs/>
        </w:rPr>
        <w:t>3</w:t>
      </w:r>
      <w:r w:rsidRPr="00261ADF">
        <w:rPr>
          <w:rFonts w:ascii="Arial" w:hAnsi="Arial" w:cs="Arial"/>
          <w:bCs/>
        </w:rPr>
        <w:t>3/202</w:t>
      </w:r>
      <w:r w:rsidR="00CB470F">
        <w:rPr>
          <w:rFonts w:ascii="Arial" w:hAnsi="Arial" w:cs="Arial"/>
          <w:bCs/>
        </w:rPr>
        <w:t>4</w:t>
      </w:r>
      <w:r w:rsidRPr="00261ADF">
        <w:rPr>
          <w:rFonts w:ascii="Arial" w:hAnsi="Arial" w:cs="Arial"/>
          <w:bCs/>
        </w:rPr>
        <w:t xml:space="preserve">, que nomeia membros para a comissão responsável pela avaliação anual dos diretores de ESCOLAS, CENTRO DE EDUCAÇÃO INFANTIL E CRECHE DA REDE MUNICIPAL DE ENSINO DE VARGEÃO/SC, </w:t>
      </w:r>
    </w:p>
    <w:p w:rsidR="00B26CAE" w:rsidRPr="00261ADF" w:rsidRDefault="00B26CAE" w:rsidP="00B26CAE">
      <w:pPr>
        <w:ind w:right="-143"/>
        <w:jc w:val="both"/>
        <w:rPr>
          <w:rFonts w:ascii="Arial" w:hAnsi="Arial" w:cs="Arial"/>
          <w:bCs/>
        </w:rPr>
      </w:pPr>
    </w:p>
    <w:p w:rsidR="00B26CAE" w:rsidRPr="00261ADF" w:rsidRDefault="00B26CAE" w:rsidP="00B26CAE">
      <w:pPr>
        <w:ind w:right="-143"/>
        <w:jc w:val="both"/>
        <w:rPr>
          <w:rFonts w:ascii="Arial" w:hAnsi="Arial" w:cs="Arial"/>
          <w:b/>
        </w:rPr>
      </w:pPr>
      <w:r w:rsidRPr="00261ADF">
        <w:rPr>
          <w:rFonts w:ascii="Arial" w:hAnsi="Arial" w:cs="Arial"/>
          <w:b/>
        </w:rPr>
        <w:t>RESOLVE:</w:t>
      </w:r>
    </w:p>
    <w:p w:rsidR="00B26CAE" w:rsidRPr="00261ADF" w:rsidRDefault="00B26CAE" w:rsidP="00B26CAE">
      <w:pPr>
        <w:ind w:right="-143"/>
        <w:jc w:val="both"/>
        <w:rPr>
          <w:rFonts w:ascii="Arial" w:hAnsi="Arial" w:cs="Arial"/>
          <w:b/>
        </w:rPr>
      </w:pPr>
    </w:p>
    <w:p w:rsidR="005E566D" w:rsidRPr="005E566D" w:rsidRDefault="00976462" w:rsidP="005E566D">
      <w:pPr>
        <w:ind w:right="-143"/>
        <w:jc w:val="both"/>
        <w:rPr>
          <w:rFonts w:ascii="Arial" w:hAnsi="Arial" w:cs="Arial"/>
          <w:bCs/>
        </w:rPr>
      </w:pPr>
      <w:r>
        <w:rPr>
          <w:rFonts w:ascii="Arial" w:hAnsi="Arial" w:cs="Arial"/>
          <w:bCs/>
        </w:rPr>
        <w:t xml:space="preserve">Art. 1° </w:t>
      </w:r>
      <w:r w:rsidR="005E566D" w:rsidRPr="005E566D">
        <w:rPr>
          <w:rFonts w:ascii="Arial" w:hAnsi="Arial" w:cs="Arial"/>
          <w:bCs/>
        </w:rPr>
        <w:t>Fica instituída, na forma desta Resolução, os procedimentos para a realização da Avaliação dos Planos de Gestão Escolar através de Consulta Pública:</w:t>
      </w:r>
    </w:p>
    <w:p w:rsidR="005E566D" w:rsidRDefault="005E566D" w:rsidP="005E566D">
      <w:pPr>
        <w:ind w:right="-143"/>
        <w:jc w:val="both"/>
        <w:rPr>
          <w:rFonts w:ascii="Arial" w:hAnsi="Arial" w:cs="Arial"/>
          <w:bCs/>
        </w:rPr>
      </w:pPr>
    </w:p>
    <w:p w:rsidR="005E566D" w:rsidRDefault="005E566D" w:rsidP="005E566D">
      <w:pPr>
        <w:ind w:right="-143"/>
        <w:jc w:val="both"/>
        <w:rPr>
          <w:rFonts w:ascii="Arial" w:hAnsi="Arial" w:cs="Arial"/>
          <w:bCs/>
        </w:rPr>
      </w:pPr>
      <w:r>
        <w:rPr>
          <w:rFonts w:ascii="Arial" w:hAnsi="Arial" w:cs="Arial"/>
          <w:bCs/>
        </w:rPr>
        <w:t xml:space="preserve">§ 1º </w:t>
      </w:r>
      <w:r w:rsidRPr="005E566D">
        <w:rPr>
          <w:rFonts w:ascii="Arial" w:hAnsi="Arial" w:cs="Arial"/>
          <w:bCs/>
        </w:rPr>
        <w:t>Realizar pesquisa on-line que abranja os temas estabelecidos na lei municipal 095/2022;</w:t>
      </w:r>
    </w:p>
    <w:p w:rsidR="005E566D" w:rsidRDefault="005E566D" w:rsidP="005E566D">
      <w:pPr>
        <w:ind w:right="-143"/>
        <w:jc w:val="both"/>
        <w:rPr>
          <w:rFonts w:ascii="Arial" w:hAnsi="Arial" w:cs="Arial"/>
          <w:bCs/>
        </w:rPr>
      </w:pPr>
    </w:p>
    <w:p w:rsidR="005E566D" w:rsidRDefault="005E566D" w:rsidP="005E566D">
      <w:pPr>
        <w:ind w:right="-143"/>
        <w:jc w:val="both"/>
        <w:rPr>
          <w:rFonts w:ascii="Arial" w:hAnsi="Arial" w:cs="Arial"/>
          <w:bCs/>
        </w:rPr>
      </w:pPr>
      <w:r>
        <w:rPr>
          <w:rFonts w:ascii="Arial" w:hAnsi="Arial" w:cs="Arial"/>
          <w:bCs/>
        </w:rPr>
        <w:t xml:space="preserve">§ 2º </w:t>
      </w:r>
      <w:r w:rsidRPr="005E566D">
        <w:rPr>
          <w:rFonts w:ascii="Arial" w:hAnsi="Arial" w:cs="Arial"/>
          <w:bCs/>
        </w:rPr>
        <w:t xml:space="preserve">A pesquisa deve ser respondida até </w:t>
      </w:r>
      <w:r w:rsidR="00497235">
        <w:rPr>
          <w:rFonts w:ascii="Arial" w:hAnsi="Arial" w:cs="Arial"/>
          <w:bCs/>
        </w:rPr>
        <w:t>10</w:t>
      </w:r>
      <w:r w:rsidRPr="005E566D">
        <w:rPr>
          <w:rFonts w:ascii="Arial" w:hAnsi="Arial" w:cs="Arial"/>
          <w:bCs/>
        </w:rPr>
        <w:t xml:space="preserve"> de janeiro de 2025;</w:t>
      </w:r>
    </w:p>
    <w:p w:rsidR="005E566D" w:rsidRPr="005E566D" w:rsidRDefault="005E566D" w:rsidP="005E566D">
      <w:pPr>
        <w:ind w:right="-143"/>
        <w:jc w:val="both"/>
        <w:rPr>
          <w:rFonts w:ascii="Arial" w:hAnsi="Arial" w:cs="Arial"/>
          <w:bCs/>
        </w:rPr>
      </w:pPr>
    </w:p>
    <w:p w:rsidR="005E566D" w:rsidRDefault="005E566D" w:rsidP="005E566D">
      <w:pPr>
        <w:ind w:right="-143"/>
        <w:jc w:val="both"/>
        <w:rPr>
          <w:rFonts w:ascii="Arial" w:hAnsi="Arial" w:cs="Arial"/>
          <w:bCs/>
        </w:rPr>
      </w:pPr>
      <w:r>
        <w:rPr>
          <w:rFonts w:ascii="Arial" w:hAnsi="Arial" w:cs="Arial"/>
          <w:bCs/>
        </w:rPr>
        <w:t>§ 3</w:t>
      </w:r>
      <w:r w:rsidRPr="005E566D">
        <w:rPr>
          <w:rFonts w:ascii="Arial" w:hAnsi="Arial" w:cs="Arial"/>
          <w:bCs/>
        </w:rPr>
        <w:t xml:space="preserve">º O público-alvo do formulário são os pais </w:t>
      </w:r>
      <w:r>
        <w:rPr>
          <w:rFonts w:ascii="Arial" w:hAnsi="Arial" w:cs="Arial"/>
          <w:bCs/>
        </w:rPr>
        <w:t>e/</w:t>
      </w:r>
      <w:r w:rsidRPr="005E566D">
        <w:rPr>
          <w:rFonts w:ascii="Arial" w:hAnsi="Arial" w:cs="Arial"/>
          <w:bCs/>
        </w:rPr>
        <w:t>ou responsáveis legais pelos estudantes matriculados na unidade;</w:t>
      </w:r>
    </w:p>
    <w:p w:rsidR="005E566D" w:rsidRPr="005E566D" w:rsidRDefault="005E566D" w:rsidP="005E566D">
      <w:pPr>
        <w:ind w:right="-143"/>
        <w:jc w:val="both"/>
        <w:rPr>
          <w:rFonts w:ascii="Arial" w:hAnsi="Arial" w:cs="Arial"/>
          <w:bCs/>
        </w:rPr>
      </w:pPr>
    </w:p>
    <w:p w:rsidR="005E566D" w:rsidRDefault="005E566D" w:rsidP="005E566D">
      <w:pPr>
        <w:ind w:right="-143"/>
        <w:jc w:val="both"/>
        <w:rPr>
          <w:rFonts w:ascii="Arial" w:hAnsi="Arial" w:cs="Arial"/>
          <w:bCs/>
        </w:rPr>
      </w:pPr>
      <w:r>
        <w:rPr>
          <w:rFonts w:ascii="Arial" w:hAnsi="Arial" w:cs="Arial"/>
          <w:bCs/>
        </w:rPr>
        <w:lastRenderedPageBreak/>
        <w:t>§ 4</w:t>
      </w:r>
      <w:r w:rsidRPr="005E566D">
        <w:rPr>
          <w:rFonts w:ascii="Arial" w:hAnsi="Arial" w:cs="Arial"/>
          <w:bCs/>
        </w:rPr>
        <w:t xml:space="preserve">º As respostas serão mantidas em sigilo pela Secretaria Municipal de Educação. </w:t>
      </w:r>
    </w:p>
    <w:p w:rsidR="005E566D" w:rsidRPr="005E566D" w:rsidRDefault="005E566D" w:rsidP="005E566D">
      <w:pPr>
        <w:ind w:right="-143"/>
        <w:jc w:val="both"/>
        <w:rPr>
          <w:rFonts w:ascii="Arial" w:hAnsi="Arial" w:cs="Arial"/>
          <w:bCs/>
        </w:rPr>
      </w:pPr>
    </w:p>
    <w:p w:rsidR="005E566D" w:rsidRDefault="005E566D" w:rsidP="005E566D">
      <w:pPr>
        <w:ind w:right="-143"/>
        <w:jc w:val="both"/>
        <w:rPr>
          <w:rFonts w:ascii="Arial" w:hAnsi="Arial" w:cs="Arial"/>
          <w:bCs/>
        </w:rPr>
      </w:pPr>
      <w:r>
        <w:rPr>
          <w:rFonts w:ascii="Arial" w:hAnsi="Arial" w:cs="Arial"/>
          <w:bCs/>
        </w:rPr>
        <w:t>§ 5</w:t>
      </w:r>
      <w:r w:rsidRPr="005E566D">
        <w:rPr>
          <w:rFonts w:ascii="Arial" w:hAnsi="Arial" w:cs="Arial"/>
          <w:bCs/>
        </w:rPr>
        <w:t>º Os participantes irão obter o link dos formulários através dos grupos de whatsap das turmas em que possuem matrícula dos filhos.</w:t>
      </w:r>
    </w:p>
    <w:p w:rsidR="005E566D" w:rsidRPr="005E566D" w:rsidRDefault="005E566D" w:rsidP="005E566D">
      <w:pPr>
        <w:ind w:right="-143"/>
        <w:jc w:val="both"/>
        <w:rPr>
          <w:rFonts w:ascii="Arial" w:hAnsi="Arial" w:cs="Arial"/>
          <w:bCs/>
        </w:rPr>
      </w:pPr>
    </w:p>
    <w:p w:rsidR="00D67B9E" w:rsidRDefault="005E566D" w:rsidP="005E566D">
      <w:pPr>
        <w:ind w:right="-143"/>
        <w:jc w:val="both"/>
        <w:rPr>
          <w:rFonts w:ascii="Arial" w:hAnsi="Arial" w:cs="Arial"/>
          <w:bCs/>
        </w:rPr>
      </w:pPr>
      <w:r>
        <w:rPr>
          <w:rFonts w:ascii="Arial" w:hAnsi="Arial" w:cs="Arial"/>
          <w:bCs/>
        </w:rPr>
        <w:t>§ 6</w:t>
      </w:r>
      <w:r w:rsidRPr="005E566D">
        <w:rPr>
          <w:rFonts w:ascii="Arial" w:hAnsi="Arial" w:cs="Arial"/>
          <w:bCs/>
        </w:rPr>
        <w:t xml:space="preserve">º </w:t>
      </w:r>
      <w:r w:rsidRPr="00497235">
        <w:rPr>
          <w:rFonts w:ascii="Arial" w:hAnsi="Arial" w:cs="Arial"/>
          <w:bCs/>
        </w:rPr>
        <w:t>Os gráficos indicadores do desempenho do plano de gestão escolar serão encaminhados às Escolas da Rede Municipal de Ensino no início do semestre letivo de 2025, onde devem ser apresentados presencialmente junto à comunidade escolar.</w:t>
      </w:r>
    </w:p>
    <w:p w:rsidR="00976462" w:rsidRPr="00261ADF" w:rsidRDefault="00976462" w:rsidP="00B26CAE">
      <w:pPr>
        <w:ind w:right="-143"/>
        <w:jc w:val="both"/>
        <w:rPr>
          <w:rFonts w:ascii="Arial" w:hAnsi="Arial" w:cs="Arial"/>
          <w:bCs/>
        </w:rPr>
      </w:pPr>
    </w:p>
    <w:p w:rsidR="00976462" w:rsidRDefault="00D67B9E" w:rsidP="00976462">
      <w:pPr>
        <w:ind w:right="-143"/>
        <w:jc w:val="both"/>
        <w:rPr>
          <w:rFonts w:ascii="Arial" w:hAnsi="Arial" w:cs="Arial"/>
          <w:bCs/>
        </w:rPr>
      </w:pPr>
      <w:r w:rsidRPr="00261ADF">
        <w:rPr>
          <w:rFonts w:ascii="Arial" w:hAnsi="Arial" w:cs="Arial"/>
          <w:bCs/>
        </w:rPr>
        <w:t xml:space="preserve">Art. 2º </w:t>
      </w:r>
      <w:r w:rsidR="00976462" w:rsidRPr="00976462">
        <w:rPr>
          <w:rFonts w:ascii="Arial" w:hAnsi="Arial" w:cs="Arial"/>
          <w:bCs/>
        </w:rPr>
        <w:t>Os casos omissos a esta Resolução serão analisados e dirimidos pela Comissão de Avaliação.</w:t>
      </w:r>
    </w:p>
    <w:p w:rsidR="00976462" w:rsidRPr="00976462" w:rsidRDefault="00976462" w:rsidP="00976462">
      <w:pPr>
        <w:ind w:right="-143"/>
        <w:jc w:val="both"/>
        <w:rPr>
          <w:rFonts w:ascii="Arial" w:hAnsi="Arial" w:cs="Arial"/>
          <w:bCs/>
        </w:rPr>
      </w:pPr>
    </w:p>
    <w:p w:rsidR="00976462" w:rsidRDefault="005E566D" w:rsidP="00976462">
      <w:pPr>
        <w:ind w:right="-143"/>
        <w:jc w:val="both"/>
        <w:rPr>
          <w:rFonts w:ascii="Arial" w:hAnsi="Arial" w:cs="Arial"/>
          <w:bCs/>
        </w:rPr>
      </w:pPr>
      <w:r>
        <w:rPr>
          <w:rFonts w:ascii="Arial" w:hAnsi="Arial" w:cs="Arial"/>
          <w:bCs/>
        </w:rPr>
        <w:t>Art. 3</w:t>
      </w:r>
      <w:r w:rsidR="00976462" w:rsidRPr="00976462">
        <w:rPr>
          <w:rFonts w:ascii="Arial" w:hAnsi="Arial" w:cs="Arial"/>
          <w:bCs/>
        </w:rPr>
        <w:t xml:space="preserve">° Esta Resolução entra em vigor na data de sua publicação. </w:t>
      </w:r>
    </w:p>
    <w:p w:rsidR="00AD00C5" w:rsidRDefault="00AD00C5" w:rsidP="00976462">
      <w:pPr>
        <w:ind w:right="-143"/>
        <w:jc w:val="both"/>
        <w:rPr>
          <w:rFonts w:ascii="Arial" w:hAnsi="Arial" w:cs="Arial"/>
          <w:bCs/>
        </w:rPr>
      </w:pPr>
    </w:p>
    <w:p w:rsidR="00AD00C5" w:rsidRPr="00976462" w:rsidRDefault="00AD00C5" w:rsidP="00AD00C5">
      <w:pPr>
        <w:ind w:right="-143"/>
        <w:jc w:val="right"/>
        <w:rPr>
          <w:rFonts w:ascii="Arial" w:hAnsi="Arial" w:cs="Arial"/>
          <w:bCs/>
        </w:rPr>
      </w:pPr>
      <w:r>
        <w:rPr>
          <w:rFonts w:ascii="Arial" w:hAnsi="Arial" w:cs="Arial"/>
          <w:bCs/>
        </w:rPr>
        <w:t xml:space="preserve">Vargeão, </w:t>
      </w:r>
      <w:r w:rsidRPr="00497235">
        <w:rPr>
          <w:rFonts w:ascii="Arial" w:hAnsi="Arial" w:cs="Arial"/>
          <w:bCs/>
        </w:rPr>
        <w:t>1</w:t>
      </w:r>
      <w:r w:rsidR="00101C70">
        <w:rPr>
          <w:rFonts w:ascii="Arial" w:hAnsi="Arial" w:cs="Arial"/>
          <w:bCs/>
        </w:rPr>
        <w:t>8</w:t>
      </w:r>
      <w:bookmarkStart w:id="0" w:name="_GoBack"/>
      <w:bookmarkEnd w:id="0"/>
      <w:r w:rsidRPr="00497235">
        <w:rPr>
          <w:rFonts w:ascii="Arial" w:hAnsi="Arial" w:cs="Arial"/>
          <w:bCs/>
        </w:rPr>
        <w:t xml:space="preserve"> d</w:t>
      </w:r>
      <w:r>
        <w:rPr>
          <w:rFonts w:ascii="Arial" w:hAnsi="Arial" w:cs="Arial"/>
          <w:bCs/>
        </w:rPr>
        <w:t>e dezembro de 2024.</w:t>
      </w:r>
    </w:p>
    <w:p w:rsidR="00976462" w:rsidRPr="00976462" w:rsidRDefault="00976462" w:rsidP="00976462">
      <w:pPr>
        <w:ind w:right="-143"/>
        <w:jc w:val="both"/>
        <w:rPr>
          <w:rFonts w:ascii="Arial" w:hAnsi="Arial" w:cs="Arial"/>
          <w:bCs/>
        </w:rPr>
      </w:pPr>
    </w:p>
    <w:p w:rsidR="00E969C2" w:rsidRPr="00261ADF" w:rsidRDefault="004839E6" w:rsidP="004839E6">
      <w:pPr>
        <w:ind w:right="-143"/>
        <w:rPr>
          <w:rFonts w:ascii="Arial" w:hAnsi="Arial" w:cs="Arial"/>
        </w:rPr>
      </w:pPr>
      <w:r>
        <w:rPr>
          <w:rFonts w:ascii="Arial" w:hAnsi="Arial" w:cs="Arial"/>
          <w:bCs/>
        </w:rPr>
        <w:t>A</w:t>
      </w:r>
      <w:r w:rsidR="00E969C2" w:rsidRPr="00261ADF">
        <w:rPr>
          <w:rFonts w:ascii="Arial" w:hAnsi="Arial" w:cs="Arial"/>
        </w:rPr>
        <w:t>ndré Luiz Panizzi</w:t>
      </w:r>
      <w:r w:rsidR="00261ADF">
        <w:rPr>
          <w:rFonts w:ascii="Arial" w:hAnsi="Arial" w:cs="Arial"/>
        </w:rPr>
        <w:t xml:space="preserve"> ________________________________________________</w:t>
      </w:r>
    </w:p>
    <w:p w:rsidR="00E969C2" w:rsidRPr="00261ADF" w:rsidRDefault="00E969C2" w:rsidP="00E969C2">
      <w:pPr>
        <w:rPr>
          <w:rFonts w:ascii="Arial" w:hAnsi="Arial" w:cs="Arial"/>
        </w:rPr>
      </w:pPr>
      <w:r w:rsidRPr="00261ADF">
        <w:rPr>
          <w:rFonts w:ascii="Arial" w:hAnsi="Arial" w:cs="Arial"/>
        </w:rPr>
        <w:t xml:space="preserve">Magali </w:t>
      </w:r>
      <w:r w:rsidR="00775C56">
        <w:rPr>
          <w:rFonts w:ascii="Arial" w:hAnsi="Arial" w:cs="Arial"/>
        </w:rPr>
        <w:t xml:space="preserve">Cecília </w:t>
      </w:r>
      <w:r w:rsidRPr="00261ADF">
        <w:rPr>
          <w:rFonts w:ascii="Arial" w:hAnsi="Arial" w:cs="Arial"/>
        </w:rPr>
        <w:t>Cadini</w:t>
      </w:r>
      <w:r w:rsidR="00261ADF">
        <w:rPr>
          <w:rFonts w:ascii="Arial" w:hAnsi="Arial" w:cs="Arial"/>
        </w:rPr>
        <w:t xml:space="preserve"> ______________________________________________</w:t>
      </w:r>
    </w:p>
    <w:p w:rsidR="00E969C2" w:rsidRPr="00261ADF" w:rsidRDefault="00CB470F" w:rsidP="00E969C2">
      <w:pPr>
        <w:rPr>
          <w:rFonts w:ascii="Arial" w:hAnsi="Arial" w:cs="Arial"/>
        </w:rPr>
      </w:pPr>
      <w:r>
        <w:rPr>
          <w:rFonts w:ascii="Arial" w:hAnsi="Arial" w:cs="Arial"/>
        </w:rPr>
        <w:t>Carina Tamanho</w:t>
      </w:r>
      <w:r w:rsidR="00261ADF">
        <w:rPr>
          <w:rFonts w:ascii="Arial" w:hAnsi="Arial" w:cs="Arial"/>
        </w:rPr>
        <w:t xml:space="preserve"> _______________________________________________</w:t>
      </w:r>
      <w:r w:rsidR="00E969C2" w:rsidRPr="00261ADF">
        <w:rPr>
          <w:rFonts w:ascii="Arial" w:hAnsi="Arial" w:cs="Arial"/>
        </w:rPr>
        <w:t xml:space="preserve"> </w:t>
      </w:r>
    </w:p>
    <w:p w:rsidR="00E969C2" w:rsidRPr="00261ADF" w:rsidRDefault="00E969C2" w:rsidP="00E969C2">
      <w:pPr>
        <w:rPr>
          <w:rFonts w:ascii="Arial" w:hAnsi="Arial" w:cs="Arial"/>
        </w:rPr>
      </w:pPr>
      <w:r w:rsidRPr="00261ADF">
        <w:rPr>
          <w:rFonts w:ascii="Arial" w:hAnsi="Arial" w:cs="Arial"/>
        </w:rPr>
        <w:t>D</w:t>
      </w:r>
      <w:r w:rsidR="000C03E2">
        <w:rPr>
          <w:rFonts w:ascii="Arial" w:hAnsi="Arial" w:cs="Arial"/>
        </w:rPr>
        <w:t>e</w:t>
      </w:r>
      <w:r w:rsidRPr="00261ADF">
        <w:rPr>
          <w:rFonts w:ascii="Arial" w:hAnsi="Arial" w:cs="Arial"/>
        </w:rPr>
        <w:t>bora Mascarello</w:t>
      </w:r>
      <w:r w:rsidR="000C03E2">
        <w:rPr>
          <w:rFonts w:ascii="Arial" w:hAnsi="Arial" w:cs="Arial"/>
        </w:rPr>
        <w:t xml:space="preserve"> Onzi  </w:t>
      </w:r>
      <w:r w:rsidR="00261ADF">
        <w:rPr>
          <w:rFonts w:ascii="Arial" w:hAnsi="Arial" w:cs="Arial"/>
        </w:rPr>
        <w:t>___________________________________________</w:t>
      </w:r>
    </w:p>
    <w:p w:rsidR="00E969C2" w:rsidRPr="00261ADF" w:rsidRDefault="00CB470F" w:rsidP="00E969C2">
      <w:pPr>
        <w:rPr>
          <w:rFonts w:ascii="Arial" w:hAnsi="Arial" w:cs="Arial"/>
        </w:rPr>
      </w:pPr>
      <w:r>
        <w:rPr>
          <w:rFonts w:ascii="Arial" w:hAnsi="Arial" w:cs="Arial"/>
        </w:rPr>
        <w:t>Jess</w:t>
      </w:r>
      <w:r w:rsidR="00497235">
        <w:rPr>
          <w:rFonts w:ascii="Arial" w:hAnsi="Arial" w:cs="Arial"/>
        </w:rPr>
        <w:t>é</w:t>
      </w:r>
      <w:r>
        <w:rPr>
          <w:rFonts w:ascii="Arial" w:hAnsi="Arial" w:cs="Arial"/>
        </w:rPr>
        <w:t xml:space="preserve"> Ribeiro Bueno</w:t>
      </w:r>
      <w:r w:rsidR="00261ADF">
        <w:rPr>
          <w:rFonts w:ascii="Arial" w:hAnsi="Arial" w:cs="Arial"/>
        </w:rPr>
        <w:t>______________________________________________</w:t>
      </w:r>
    </w:p>
    <w:p w:rsidR="00E969C2" w:rsidRPr="00261ADF" w:rsidRDefault="00E969C2" w:rsidP="00E969C2">
      <w:pPr>
        <w:rPr>
          <w:rFonts w:ascii="Arial" w:hAnsi="Arial" w:cs="Arial"/>
        </w:rPr>
      </w:pPr>
      <w:r w:rsidRPr="00261ADF">
        <w:rPr>
          <w:rFonts w:ascii="Arial" w:hAnsi="Arial" w:cs="Arial"/>
        </w:rPr>
        <w:t>Rita de Cássia Palla Barbieri</w:t>
      </w:r>
      <w:r w:rsidR="00261ADF">
        <w:rPr>
          <w:rFonts w:ascii="Arial" w:hAnsi="Arial" w:cs="Arial"/>
        </w:rPr>
        <w:t xml:space="preserve"> ________________________________________</w:t>
      </w:r>
    </w:p>
    <w:p w:rsidR="00123278" w:rsidRDefault="00E969C2" w:rsidP="00E969C2">
      <w:pPr>
        <w:rPr>
          <w:rFonts w:ascii="Arial" w:hAnsi="Arial" w:cs="Arial"/>
        </w:rPr>
      </w:pPr>
      <w:r w:rsidRPr="00261ADF">
        <w:rPr>
          <w:rFonts w:ascii="Arial" w:hAnsi="Arial" w:cs="Arial"/>
        </w:rPr>
        <w:t>Elaine Calais Mascarello</w:t>
      </w:r>
      <w:r w:rsidR="00261ADF">
        <w:rPr>
          <w:rFonts w:ascii="Arial" w:hAnsi="Arial" w:cs="Arial"/>
        </w:rPr>
        <w:t xml:space="preserve"> ___________________________________________</w:t>
      </w:r>
    </w:p>
    <w:sectPr w:rsidR="00123278" w:rsidSect="00F447A5">
      <w:headerReference w:type="default" r:id="rId7"/>
      <w:footerReference w:type="default" r:id="rId8"/>
      <w:pgSz w:w="11907" w:h="16840" w:code="9"/>
      <w:pgMar w:top="2268" w:right="1417" w:bottom="1304" w:left="1985" w:header="567"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1E6" w:rsidRDefault="00CD71E6">
      <w:r>
        <w:separator/>
      </w:r>
    </w:p>
  </w:endnote>
  <w:endnote w:type="continuationSeparator" w:id="0">
    <w:p w:rsidR="00CD71E6" w:rsidRDefault="00CD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0FA5" w:rsidRDefault="00026DF8">
    <w:pPr>
      <w:pStyle w:val="Rodap"/>
      <w:pBdr>
        <w:top w:val="single" w:sz="4" w:space="1" w:color="auto"/>
      </w:pBdr>
      <w:rPr>
        <w:rFonts w:ascii="Tahoma" w:hAnsi="Tahoma" w:cs="Tahoma"/>
        <w:sz w:val="19"/>
      </w:rPr>
    </w:pPr>
    <w:r>
      <w:rPr>
        <w:rFonts w:ascii="Tahoma" w:hAnsi="Tahoma" w:cs="Tahoma"/>
        <w:noProof/>
        <w:sz w:val="20"/>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13335</wp:posOffset>
          </wp:positionV>
          <wp:extent cx="685800" cy="480060"/>
          <wp:effectExtent l="19050" t="0" r="0" b="0"/>
          <wp:wrapSquare wrapText="bothSides"/>
          <wp:docPr id="10" name="Imagem 10"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mbre"/>
                  <pic:cNvPicPr>
                    <a:picLocks noChangeAspect="1" noChangeArrowheads="1"/>
                  </pic:cNvPicPr>
                </pic:nvPicPr>
                <pic:blipFill>
                  <a:blip r:embed="rId1"/>
                  <a:srcRect/>
                  <a:stretch>
                    <a:fillRect/>
                  </a:stretch>
                </pic:blipFill>
                <pic:spPr bwMode="auto">
                  <a:xfrm>
                    <a:off x="0" y="0"/>
                    <a:ext cx="685800" cy="480060"/>
                  </a:xfrm>
                  <a:prstGeom prst="rect">
                    <a:avLst/>
                  </a:prstGeom>
                  <a:noFill/>
                  <a:ln w="9525">
                    <a:noFill/>
                    <a:miter lim="800000"/>
                    <a:headEnd/>
                    <a:tailEnd/>
                  </a:ln>
                </pic:spPr>
              </pic:pic>
            </a:graphicData>
          </a:graphic>
        </wp:anchor>
      </w:drawing>
    </w:r>
    <w:r w:rsidR="00490FA5">
      <w:rPr>
        <w:rFonts w:ascii="Tahoma" w:hAnsi="Tahoma" w:cs="Tahoma"/>
        <w:sz w:val="19"/>
      </w:rPr>
      <w:t>Rua 7 de Setembro, 477 – Fone (0**49) 3434-0148 – CEP 89690-000 – VARGEÃO – SC</w:t>
    </w:r>
  </w:p>
  <w:p w:rsidR="00490FA5" w:rsidRDefault="00490FA5">
    <w:pPr>
      <w:pStyle w:val="Rodap"/>
      <w:rPr>
        <w:rFonts w:ascii="Tahoma" w:hAnsi="Tahoma" w:cs="Tahoma"/>
        <w:sz w:val="19"/>
      </w:rPr>
    </w:pPr>
    <w:r>
      <w:rPr>
        <w:rFonts w:ascii="Tahoma" w:hAnsi="Tahoma" w:cs="Tahoma"/>
        <w:sz w:val="19"/>
      </w:rPr>
      <w:t xml:space="preserve">Site: </w:t>
    </w:r>
    <w:hyperlink r:id="rId2" w:history="1">
      <w:r>
        <w:rPr>
          <w:rStyle w:val="Hyperlink"/>
          <w:rFonts w:ascii="Tahoma" w:hAnsi="Tahoma" w:cs="Tahoma"/>
          <w:color w:val="auto"/>
          <w:sz w:val="19"/>
          <w:u w:val="none"/>
        </w:rPr>
        <w:t>www.vargeao.sc.gov.br</w:t>
      </w:r>
    </w:hyperlink>
    <w:r>
      <w:rPr>
        <w:rFonts w:ascii="Tahoma" w:hAnsi="Tahoma" w:cs="Tahoma"/>
        <w:sz w:val="19"/>
      </w:rPr>
      <w:t xml:space="preserve"> - e-mail: administracao@vargeao.sc.gov.br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1E6" w:rsidRDefault="00CD71E6">
      <w:r>
        <w:separator/>
      </w:r>
    </w:p>
  </w:footnote>
  <w:footnote w:type="continuationSeparator" w:id="0">
    <w:p w:rsidR="00CD71E6" w:rsidRDefault="00CD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0FA5" w:rsidRDefault="00026DF8">
    <w:pPr>
      <w:pStyle w:val="Cabealho"/>
      <w:ind w:firstLine="1980"/>
      <w:rPr>
        <w:rFonts w:ascii="Tahoma" w:hAnsi="Tahoma"/>
        <w:sz w:val="32"/>
      </w:rPr>
    </w:pPr>
    <w:r>
      <w:rPr>
        <w:noProof/>
        <w:sz w:val="20"/>
      </w:rPr>
      <w:drawing>
        <wp:anchor distT="0" distB="0" distL="114300" distR="114300" simplePos="0" relativeHeight="251658240" behindDoc="0" locked="0" layoutInCell="1" allowOverlap="1">
          <wp:simplePos x="0" y="0"/>
          <wp:positionH relativeFrom="column">
            <wp:posOffset>228600</wp:posOffset>
          </wp:positionH>
          <wp:positionV relativeFrom="paragraph">
            <wp:posOffset>41910</wp:posOffset>
          </wp:positionV>
          <wp:extent cx="793750" cy="923925"/>
          <wp:effectExtent l="19050" t="0" r="6350" b="0"/>
          <wp:wrapSquare wrapText="bothSides"/>
          <wp:docPr id="7" name="Imagem 7"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são"/>
                  <pic:cNvPicPr>
                    <a:picLocks noChangeAspect="1" noChangeArrowheads="1"/>
                  </pic:cNvPicPr>
                </pic:nvPicPr>
                <pic:blipFill>
                  <a:blip r:embed="rId1"/>
                  <a:srcRect/>
                  <a:stretch>
                    <a:fillRect/>
                  </a:stretch>
                </pic:blipFill>
                <pic:spPr bwMode="auto">
                  <a:xfrm>
                    <a:off x="0" y="0"/>
                    <a:ext cx="793750" cy="923925"/>
                  </a:xfrm>
                  <a:prstGeom prst="rect">
                    <a:avLst/>
                  </a:prstGeom>
                  <a:noFill/>
                  <a:ln w="9525">
                    <a:noFill/>
                    <a:miter lim="800000"/>
                    <a:headEnd/>
                    <a:tailEnd/>
                  </a:ln>
                </pic:spPr>
              </pic:pic>
            </a:graphicData>
          </a:graphic>
        </wp:anchor>
      </w:drawing>
    </w:r>
  </w:p>
  <w:p w:rsidR="00490FA5" w:rsidRDefault="00490FA5">
    <w:pPr>
      <w:pStyle w:val="Cabealho"/>
      <w:ind w:firstLine="1980"/>
      <w:rPr>
        <w:rFonts w:ascii="Tahoma" w:hAnsi="Tahoma"/>
        <w:sz w:val="28"/>
      </w:rPr>
    </w:pPr>
    <w:r>
      <w:rPr>
        <w:rFonts w:ascii="Tahoma" w:hAnsi="Tahoma"/>
        <w:sz w:val="28"/>
      </w:rPr>
      <w:t>Estado de Santa Catarina</w:t>
    </w:r>
  </w:p>
  <w:p w:rsidR="00490FA5" w:rsidRDefault="00490FA5">
    <w:pPr>
      <w:pStyle w:val="Cabealho"/>
      <w:pBdr>
        <w:bottom w:val="single" w:sz="4" w:space="1" w:color="auto"/>
      </w:pBdr>
      <w:tabs>
        <w:tab w:val="clear" w:pos="8838"/>
        <w:tab w:val="left" w:pos="6705"/>
      </w:tabs>
      <w:ind w:left="1980"/>
      <w:rPr>
        <w:b/>
        <w:bCs/>
        <w:sz w:val="36"/>
      </w:rPr>
    </w:pPr>
    <w:r>
      <w:rPr>
        <w:rFonts w:ascii="Tahoma" w:hAnsi="Tahoma"/>
        <w:b/>
        <w:bCs/>
        <w:sz w:val="28"/>
      </w:rPr>
      <w:t>Governo Municipal de Vargeão</w:t>
    </w:r>
    <w:r>
      <w:rPr>
        <w:rFonts w:ascii="Tahoma" w:hAnsi="Tahoma"/>
        <w:b/>
        <w:bCs/>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2825"/>
    <w:multiLevelType w:val="hybridMultilevel"/>
    <w:tmpl w:val="FB92CA28"/>
    <w:lvl w:ilvl="0" w:tplc="5E0EDC1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0E13289F"/>
    <w:multiLevelType w:val="hybridMultilevel"/>
    <w:tmpl w:val="868892F4"/>
    <w:lvl w:ilvl="0" w:tplc="0816AED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159B0E85"/>
    <w:multiLevelType w:val="hybridMultilevel"/>
    <w:tmpl w:val="FB92CA28"/>
    <w:lvl w:ilvl="0" w:tplc="5E0EDC1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31"/>
    <w:rsid w:val="00026DF8"/>
    <w:rsid w:val="00030409"/>
    <w:rsid w:val="0007504B"/>
    <w:rsid w:val="000C03E2"/>
    <w:rsid w:val="000C2349"/>
    <w:rsid w:val="000D73ED"/>
    <w:rsid w:val="000F16FC"/>
    <w:rsid w:val="000F3CD2"/>
    <w:rsid w:val="00101C70"/>
    <w:rsid w:val="0011123A"/>
    <w:rsid w:val="001146E3"/>
    <w:rsid w:val="00115558"/>
    <w:rsid w:val="00123278"/>
    <w:rsid w:val="001355C3"/>
    <w:rsid w:val="00136C36"/>
    <w:rsid w:val="00143BAF"/>
    <w:rsid w:val="00162D19"/>
    <w:rsid w:val="00175D1B"/>
    <w:rsid w:val="00192E8B"/>
    <w:rsid w:val="001B30F8"/>
    <w:rsid w:val="001B6E18"/>
    <w:rsid w:val="001E4163"/>
    <w:rsid w:val="001E5FFE"/>
    <w:rsid w:val="0020137B"/>
    <w:rsid w:val="00204D84"/>
    <w:rsid w:val="00230244"/>
    <w:rsid w:val="00234145"/>
    <w:rsid w:val="00236B0D"/>
    <w:rsid w:val="00247AE3"/>
    <w:rsid w:val="00254A10"/>
    <w:rsid w:val="00261ADF"/>
    <w:rsid w:val="00284A2B"/>
    <w:rsid w:val="002D2659"/>
    <w:rsid w:val="00314608"/>
    <w:rsid w:val="003168C6"/>
    <w:rsid w:val="00336635"/>
    <w:rsid w:val="003A0417"/>
    <w:rsid w:val="003A25B1"/>
    <w:rsid w:val="003B0A73"/>
    <w:rsid w:val="003B30F9"/>
    <w:rsid w:val="00432B24"/>
    <w:rsid w:val="00462820"/>
    <w:rsid w:val="00466E67"/>
    <w:rsid w:val="00477B7F"/>
    <w:rsid w:val="004839E6"/>
    <w:rsid w:val="00490FA5"/>
    <w:rsid w:val="00497235"/>
    <w:rsid w:val="004A347B"/>
    <w:rsid w:val="004E1112"/>
    <w:rsid w:val="005361F8"/>
    <w:rsid w:val="005A7013"/>
    <w:rsid w:val="005D32B4"/>
    <w:rsid w:val="005E4CEB"/>
    <w:rsid w:val="005E566D"/>
    <w:rsid w:val="00617239"/>
    <w:rsid w:val="00690DCE"/>
    <w:rsid w:val="00696DB0"/>
    <w:rsid w:val="006C5D73"/>
    <w:rsid w:val="006D5CFC"/>
    <w:rsid w:val="00721CF7"/>
    <w:rsid w:val="007378F6"/>
    <w:rsid w:val="00767B99"/>
    <w:rsid w:val="00775C56"/>
    <w:rsid w:val="007875C0"/>
    <w:rsid w:val="007979DD"/>
    <w:rsid w:val="007A7816"/>
    <w:rsid w:val="0080483C"/>
    <w:rsid w:val="00841D9A"/>
    <w:rsid w:val="00894BCD"/>
    <w:rsid w:val="0089670D"/>
    <w:rsid w:val="008C1023"/>
    <w:rsid w:val="008C57CB"/>
    <w:rsid w:val="008D19AD"/>
    <w:rsid w:val="008E27AA"/>
    <w:rsid w:val="008E5971"/>
    <w:rsid w:val="00900459"/>
    <w:rsid w:val="00946F4B"/>
    <w:rsid w:val="00956670"/>
    <w:rsid w:val="009718BA"/>
    <w:rsid w:val="00975C21"/>
    <w:rsid w:val="00976462"/>
    <w:rsid w:val="00977211"/>
    <w:rsid w:val="009B0ECA"/>
    <w:rsid w:val="009C4135"/>
    <w:rsid w:val="009D18B2"/>
    <w:rsid w:val="009D21BF"/>
    <w:rsid w:val="00A5173B"/>
    <w:rsid w:val="00A55BDD"/>
    <w:rsid w:val="00A92307"/>
    <w:rsid w:val="00AB6418"/>
    <w:rsid w:val="00AB6431"/>
    <w:rsid w:val="00AD00C5"/>
    <w:rsid w:val="00B06982"/>
    <w:rsid w:val="00B23674"/>
    <w:rsid w:val="00B26CAE"/>
    <w:rsid w:val="00B8653D"/>
    <w:rsid w:val="00BA6312"/>
    <w:rsid w:val="00BC09F0"/>
    <w:rsid w:val="00BF482A"/>
    <w:rsid w:val="00C11792"/>
    <w:rsid w:val="00C42A77"/>
    <w:rsid w:val="00C819EC"/>
    <w:rsid w:val="00C91322"/>
    <w:rsid w:val="00CA0B19"/>
    <w:rsid w:val="00CA580C"/>
    <w:rsid w:val="00CB470F"/>
    <w:rsid w:val="00CC2263"/>
    <w:rsid w:val="00CC7652"/>
    <w:rsid w:val="00CD316E"/>
    <w:rsid w:val="00CD71E6"/>
    <w:rsid w:val="00CD768B"/>
    <w:rsid w:val="00CE0E09"/>
    <w:rsid w:val="00D2406F"/>
    <w:rsid w:val="00D5277C"/>
    <w:rsid w:val="00D67B9E"/>
    <w:rsid w:val="00DA3B86"/>
    <w:rsid w:val="00DA3CDF"/>
    <w:rsid w:val="00DD121F"/>
    <w:rsid w:val="00E31D33"/>
    <w:rsid w:val="00E42706"/>
    <w:rsid w:val="00E5124C"/>
    <w:rsid w:val="00E67EA1"/>
    <w:rsid w:val="00E82FD5"/>
    <w:rsid w:val="00E91DE8"/>
    <w:rsid w:val="00E969C2"/>
    <w:rsid w:val="00EA054A"/>
    <w:rsid w:val="00EE6C6B"/>
    <w:rsid w:val="00EF72F1"/>
    <w:rsid w:val="00F0457E"/>
    <w:rsid w:val="00F1331F"/>
    <w:rsid w:val="00F447A5"/>
    <w:rsid w:val="00F60907"/>
    <w:rsid w:val="00F76D53"/>
    <w:rsid w:val="00F8109C"/>
    <w:rsid w:val="00F86042"/>
    <w:rsid w:val="00FA498C"/>
    <w:rsid w:val="00FD3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65A621F"/>
  <w15:docId w15:val="{AD9B9FB8-3919-40BD-985F-2AFEEAD7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24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5124C"/>
    <w:pPr>
      <w:tabs>
        <w:tab w:val="center" w:pos="4419"/>
        <w:tab w:val="right" w:pos="8838"/>
      </w:tabs>
    </w:pPr>
  </w:style>
  <w:style w:type="paragraph" w:styleId="Rodap">
    <w:name w:val="footer"/>
    <w:basedOn w:val="Normal"/>
    <w:rsid w:val="00E5124C"/>
    <w:pPr>
      <w:tabs>
        <w:tab w:val="center" w:pos="4419"/>
        <w:tab w:val="right" w:pos="8838"/>
      </w:tabs>
    </w:pPr>
  </w:style>
  <w:style w:type="character" w:styleId="Hyperlink">
    <w:name w:val="Hyperlink"/>
    <w:basedOn w:val="Fontepargpadro"/>
    <w:rsid w:val="00E5124C"/>
    <w:rPr>
      <w:color w:val="0000FF"/>
      <w:u w:val="single"/>
    </w:rPr>
  </w:style>
  <w:style w:type="paragraph" w:styleId="SemEspaamento">
    <w:name w:val="No Spacing"/>
    <w:uiPriority w:val="1"/>
    <w:qFormat/>
    <w:rsid w:val="006C5D73"/>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9D18B2"/>
    <w:pPr>
      <w:ind w:left="720"/>
      <w:contextualSpacing/>
    </w:pPr>
  </w:style>
  <w:style w:type="table" w:styleId="Tabelacomgrade">
    <w:name w:val="Table Grid"/>
    <w:basedOn w:val="Tabelanormal"/>
    <w:uiPriority w:val="59"/>
    <w:rsid w:val="009D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68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502444">
      <w:bodyDiv w:val="1"/>
      <w:marLeft w:val="0"/>
      <w:marRight w:val="0"/>
      <w:marTop w:val="0"/>
      <w:marBottom w:val="0"/>
      <w:divBdr>
        <w:top w:val="none" w:sz="0" w:space="0" w:color="auto"/>
        <w:left w:val="none" w:sz="0" w:space="0" w:color="auto"/>
        <w:bottom w:val="none" w:sz="0" w:space="0" w:color="auto"/>
        <w:right w:val="none" w:sz="0" w:space="0" w:color="auto"/>
      </w:divBdr>
    </w:div>
    <w:div w:id="1124232583">
      <w:bodyDiv w:val="1"/>
      <w:marLeft w:val="0"/>
      <w:marRight w:val="0"/>
      <w:marTop w:val="0"/>
      <w:marBottom w:val="0"/>
      <w:divBdr>
        <w:top w:val="none" w:sz="0" w:space="0" w:color="auto"/>
        <w:left w:val="none" w:sz="0" w:space="0" w:color="auto"/>
        <w:bottom w:val="none" w:sz="0" w:space="0" w:color="auto"/>
        <w:right w:val="none" w:sz="0" w:space="0" w:color="auto"/>
      </w:divBdr>
    </w:div>
    <w:div w:id="1164735316">
      <w:bodyDiv w:val="1"/>
      <w:marLeft w:val="0"/>
      <w:marRight w:val="0"/>
      <w:marTop w:val="0"/>
      <w:marBottom w:val="0"/>
      <w:divBdr>
        <w:top w:val="none" w:sz="0" w:space="0" w:color="auto"/>
        <w:left w:val="none" w:sz="0" w:space="0" w:color="auto"/>
        <w:bottom w:val="none" w:sz="0" w:space="0" w:color="auto"/>
        <w:right w:val="none" w:sz="0" w:space="0" w:color="auto"/>
      </w:divBdr>
    </w:div>
    <w:div w:id="17496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argeao.sc.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folha%20timbrad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folha timbrada</Template>
  <TotalTime>1119</TotalTime>
  <Pages>3</Pages>
  <Words>832</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Links>
    <vt:vector size="6" baseType="variant">
      <vt:variant>
        <vt:i4>4915209</vt:i4>
      </vt:variant>
      <vt:variant>
        <vt:i4>0</vt:i4>
      </vt:variant>
      <vt:variant>
        <vt:i4>0</vt:i4>
      </vt:variant>
      <vt:variant>
        <vt:i4>5</vt:i4>
      </vt:variant>
      <vt:variant>
        <vt:lpwstr>http://www.vargeao.sc.gov.br/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25</cp:revision>
  <cp:lastPrinted>2022-11-28T12:46:00Z</cp:lastPrinted>
  <dcterms:created xsi:type="dcterms:W3CDTF">2023-12-08T14:15:00Z</dcterms:created>
  <dcterms:modified xsi:type="dcterms:W3CDTF">2024-12-17T19:24:00Z</dcterms:modified>
</cp:coreProperties>
</file>